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357" w:rsidRDefault="00164357" w:rsidP="00164357">
      <w:pPr>
        <w:jc w:val="center"/>
        <w:rPr>
          <w:rFonts w:cs="Times New Roman"/>
          <w:b/>
          <w:sz w:val="36"/>
          <w:szCs w:val="36"/>
        </w:rPr>
      </w:pPr>
      <w:r>
        <w:rPr>
          <w:rFonts w:eastAsia="Times New Roman" w:cs="Times New Roman"/>
          <w:b/>
          <w:color w:val="000000"/>
          <w:sz w:val="36"/>
          <w:szCs w:val="36"/>
        </w:rPr>
        <w:t>PHP-34102: Pharmacokinetics</w:t>
      </w:r>
    </w:p>
    <w:p w:rsidR="00164357" w:rsidRDefault="00164357" w:rsidP="00164357">
      <w:pPr>
        <w:jc w:val="center"/>
        <w:rPr>
          <w:rFonts w:cs="Times New Roman"/>
          <w:b/>
          <w:sz w:val="28"/>
          <w:szCs w:val="28"/>
        </w:rPr>
      </w:pPr>
    </w:p>
    <w:p w:rsidR="00164357" w:rsidRDefault="00164357" w:rsidP="00164357">
      <w:pPr>
        <w:jc w:val="center"/>
        <w:rPr>
          <w:rFonts w:cs="Times New Roman"/>
          <w:b/>
          <w:sz w:val="28"/>
          <w:szCs w:val="28"/>
        </w:rPr>
      </w:pPr>
      <w:r>
        <w:rPr>
          <w:rFonts w:cs="Times New Roman"/>
          <w:b/>
          <w:sz w:val="28"/>
          <w:szCs w:val="28"/>
        </w:rPr>
        <w:t>Dr. Imran Masood, PhD</w:t>
      </w:r>
    </w:p>
    <w:p w:rsidR="00164357" w:rsidRDefault="00164357" w:rsidP="00164357">
      <w:pPr>
        <w:jc w:val="center"/>
        <w:rPr>
          <w:rFonts w:cstheme="minorHAnsi"/>
          <w:b/>
          <w:sz w:val="56"/>
          <w:szCs w:val="96"/>
        </w:rPr>
      </w:pPr>
      <w:hyperlink r:id="rId4" w:history="1">
        <w:r>
          <w:rPr>
            <w:rStyle w:val="Hyperlink"/>
            <w:rFonts w:cs="Times New Roman"/>
            <w:szCs w:val="24"/>
          </w:rPr>
          <w:t>drimranmasood@iub.edu.pk</w:t>
        </w:r>
      </w:hyperlink>
    </w:p>
    <w:p w:rsidR="001C2021" w:rsidRPr="00164357" w:rsidRDefault="001C2021" w:rsidP="001C2021">
      <w:pPr>
        <w:jc w:val="center"/>
        <w:rPr>
          <w:rFonts w:eastAsia="Times New Roman" w:cs="Times New Roman"/>
          <w:b/>
          <w:color w:val="000000"/>
          <w:sz w:val="36"/>
          <w:szCs w:val="36"/>
        </w:rPr>
      </w:pPr>
      <w:r w:rsidRPr="00164357">
        <w:rPr>
          <w:rFonts w:eastAsia="Times New Roman" w:cs="Times New Roman"/>
          <w:b/>
          <w:color w:val="000000"/>
          <w:sz w:val="36"/>
          <w:szCs w:val="36"/>
        </w:rPr>
        <w:t>Forensic Pharmacokinetics</w:t>
      </w:r>
    </w:p>
    <w:p w:rsidR="001C2021" w:rsidRDefault="001C2021" w:rsidP="001C2021">
      <w:pPr>
        <w:rPr>
          <w:rFonts w:cstheme="minorHAnsi"/>
          <w:sz w:val="28"/>
          <w:szCs w:val="28"/>
        </w:rPr>
      </w:pPr>
    </w:p>
    <w:p w:rsidR="00164357" w:rsidRDefault="001C2021" w:rsidP="00164357">
      <w:pPr>
        <w:rPr>
          <w:rFonts w:cstheme="minorHAnsi"/>
          <w:sz w:val="28"/>
          <w:szCs w:val="28"/>
        </w:rPr>
      </w:pPr>
      <w:r>
        <w:rPr>
          <w:rFonts w:cstheme="minorHAnsi"/>
          <w:sz w:val="28"/>
          <w:szCs w:val="28"/>
        </w:rPr>
        <w:t xml:space="preserve">      </w:t>
      </w: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164357" w:rsidRDefault="00164357" w:rsidP="00164357">
      <w:pPr>
        <w:rPr>
          <w:rFonts w:cstheme="minorHAnsi"/>
          <w:sz w:val="28"/>
          <w:szCs w:val="28"/>
        </w:rPr>
      </w:pPr>
    </w:p>
    <w:p w:rsidR="00AC6314" w:rsidRDefault="00AC6314" w:rsidP="00164357">
      <w:pPr>
        <w:rPr>
          <w:rFonts w:cstheme="minorHAnsi"/>
          <w:sz w:val="28"/>
          <w:szCs w:val="28"/>
        </w:rPr>
      </w:pPr>
      <w:bookmarkStart w:id="0" w:name="_GoBack"/>
      <w:bookmarkEnd w:id="0"/>
    </w:p>
    <w:p w:rsidR="00164357" w:rsidRDefault="00164357" w:rsidP="00164357">
      <w:pPr>
        <w:rPr>
          <w:rFonts w:cstheme="minorHAnsi"/>
          <w:sz w:val="28"/>
          <w:szCs w:val="28"/>
        </w:rPr>
      </w:pPr>
    </w:p>
    <w:p w:rsidR="00164357" w:rsidRDefault="00164357" w:rsidP="00164357">
      <w:pPr>
        <w:rPr>
          <w:rFonts w:cstheme="minorHAnsi"/>
          <w:sz w:val="28"/>
          <w:szCs w:val="28"/>
        </w:rPr>
      </w:pPr>
    </w:p>
    <w:p w:rsidR="001C2021" w:rsidRDefault="001C2021" w:rsidP="00164357">
      <w:pPr>
        <w:rPr>
          <w:sz w:val="28"/>
          <w:szCs w:val="28"/>
        </w:rPr>
      </w:pPr>
      <w:r>
        <w:rPr>
          <w:rFonts w:cstheme="minorHAnsi"/>
          <w:sz w:val="28"/>
          <w:szCs w:val="28"/>
        </w:rPr>
        <w:t xml:space="preserve">             </w:t>
      </w:r>
    </w:p>
    <w:p w:rsidR="001C2021" w:rsidRPr="00164357" w:rsidRDefault="001C2021" w:rsidP="001C2021">
      <w:pPr>
        <w:rPr>
          <w:szCs w:val="24"/>
        </w:rPr>
      </w:pPr>
      <w:r w:rsidRPr="00164357">
        <w:rPr>
          <w:szCs w:val="24"/>
        </w:rPr>
        <w:lastRenderedPageBreak/>
        <w:t xml:space="preserve">The first task is to compile a validated set of pharmacokinetic parameters with which realistic results can be obtained. The problem lies in most cases in a broad range of interindividual differences (especially t½ E and </w:t>
      </w:r>
      <w:proofErr w:type="spellStart"/>
      <w:r w:rsidRPr="00164357">
        <w:rPr>
          <w:szCs w:val="24"/>
        </w:rPr>
        <w:t>Vd</w:t>
      </w:r>
      <w:proofErr w:type="spellEnd"/>
      <w:r w:rsidRPr="00164357">
        <w:rPr>
          <w:szCs w:val="24"/>
        </w:rPr>
        <w:t xml:space="preserve">). For first estimation of the biologic diversity, it might be helpful to compile a set of parameters, with which minimal blood concentrations are obtained and another set of parameters, with which maximal blood concentrations are obtained. Minimal blood concentrations result from low f, long t½ A and t max, large </w:t>
      </w:r>
      <w:proofErr w:type="spellStart"/>
      <w:r w:rsidRPr="00164357">
        <w:rPr>
          <w:szCs w:val="24"/>
        </w:rPr>
        <w:t>Vd</w:t>
      </w:r>
      <w:proofErr w:type="spellEnd"/>
      <w:r w:rsidRPr="00164357">
        <w:rPr>
          <w:szCs w:val="24"/>
        </w:rPr>
        <w:t xml:space="preserve"> and short t½ E (for maximal concentrations vice versa.) </w:t>
      </w:r>
    </w:p>
    <w:p w:rsidR="001C2021" w:rsidRPr="00164357" w:rsidRDefault="001C2021" w:rsidP="001C2021">
      <w:pPr>
        <w:rPr>
          <w:szCs w:val="24"/>
        </w:rPr>
      </w:pPr>
      <w:r w:rsidRPr="00164357">
        <w:rPr>
          <w:szCs w:val="24"/>
        </w:rPr>
        <w:t xml:space="preserve">The most realistic parameters lie somewhere in between, as demonstrated. As in the literature extremes may be given (e.g. long elimination half-lives in patients with hepatic disorders), the average of a given range is usually not appropriate. It would be better to </w:t>
      </w:r>
      <w:proofErr w:type="spellStart"/>
      <w:r w:rsidRPr="00164357">
        <w:rPr>
          <w:szCs w:val="24"/>
        </w:rPr>
        <w:t>chose</w:t>
      </w:r>
      <w:proofErr w:type="spellEnd"/>
      <w:r w:rsidRPr="00164357">
        <w:rPr>
          <w:szCs w:val="24"/>
        </w:rPr>
        <w:t xml:space="preserve"> parameters on the basis of specific (and coherent) study results. Selection of parameters should be directed to yield realistic simulation results. For this </w:t>
      </w:r>
      <w:proofErr w:type="gramStart"/>
      <w:r w:rsidRPr="00164357">
        <w:rPr>
          <w:szCs w:val="24"/>
        </w:rPr>
        <w:t>purpose</w:t>
      </w:r>
      <w:proofErr w:type="gramEnd"/>
      <w:r w:rsidRPr="00164357">
        <w:rPr>
          <w:szCs w:val="24"/>
        </w:rPr>
        <w:t xml:space="preserve"> at least one certain example from literature should be used as template (e.g. from bioavailability studies). </w:t>
      </w:r>
    </w:p>
    <w:p w:rsidR="001C2021" w:rsidRPr="00164357" w:rsidRDefault="001C2021" w:rsidP="001C2021">
      <w:pPr>
        <w:rPr>
          <w:szCs w:val="24"/>
        </w:rPr>
      </w:pPr>
      <w:r w:rsidRPr="00164357">
        <w:rPr>
          <w:szCs w:val="24"/>
        </w:rPr>
        <w:t xml:space="preserve">If the simulation result (C max) of a single dose application matches reported concentrations, another example should be tried which should be a chronic administration. In this example attention should also be directed towards a possible cumulation of the drug. If these simulation results also agree with reported concentrations, the selected parameters can be accepted and be applied to the forensic case (two examples for the described validation procedure are given later). </w:t>
      </w:r>
    </w:p>
    <w:p w:rsidR="001C2021" w:rsidRPr="00164357" w:rsidRDefault="001C2021" w:rsidP="001C2021">
      <w:pPr>
        <w:rPr>
          <w:szCs w:val="24"/>
        </w:rPr>
      </w:pPr>
      <w:r w:rsidRPr="00164357">
        <w:rPr>
          <w:szCs w:val="24"/>
        </w:rPr>
        <w:t xml:space="preserve">For simulations according to statements of accused in forensic cases the time range should start with the date/time of the first dose and end at the date/time of blood sampling. The body weight of the subject should be taken but all other parameters should be used unchanged. In case that the simulation result differs markedly from the measured concentration (which is, from my experience, mostly the case), the next step would be to check, if a parameter has to be adjusted to specific circumstances of the individual case. This is often true for the distribution volume, which is usually based on studies with young and healthy men. </w:t>
      </w:r>
    </w:p>
    <w:p w:rsidR="00910DE4" w:rsidRPr="00164357" w:rsidRDefault="001C2021" w:rsidP="001C2021">
      <w:pPr>
        <w:rPr>
          <w:szCs w:val="24"/>
        </w:rPr>
      </w:pPr>
      <w:r w:rsidRPr="00164357">
        <w:rPr>
          <w:szCs w:val="24"/>
        </w:rPr>
        <w:t xml:space="preserve">In older or obese </w:t>
      </w:r>
      <w:proofErr w:type="gramStart"/>
      <w:r w:rsidRPr="00164357">
        <w:rPr>
          <w:szCs w:val="24"/>
        </w:rPr>
        <w:t>persons</w:t>
      </w:r>
      <w:proofErr w:type="gramEnd"/>
      <w:r w:rsidRPr="00164357">
        <w:rPr>
          <w:szCs w:val="24"/>
        </w:rPr>
        <w:t xml:space="preserve"> the distribution volume might need an increase while in case of emaciated persons it might need a decrease. If still a marked difference is observed, the statements of the accused do not sufficiently explain the analytical result and can be judged as false</w:t>
      </w:r>
    </w:p>
    <w:p w:rsidR="001C2021" w:rsidRPr="00164357" w:rsidRDefault="001C2021" w:rsidP="001C2021">
      <w:pPr>
        <w:rPr>
          <w:szCs w:val="24"/>
        </w:rPr>
      </w:pPr>
      <w:r w:rsidRPr="00164357">
        <w:rPr>
          <w:szCs w:val="24"/>
        </w:rPr>
        <w:t xml:space="preserve">In most cases the measured concentrations are much higher than the calculated values and it should be tried to estimate a minimum single dose with which the concentration can be reached. </w:t>
      </w:r>
      <w:proofErr w:type="gramStart"/>
      <w:r w:rsidRPr="00164357">
        <w:rPr>
          <w:szCs w:val="24"/>
        </w:rPr>
        <w:t>Therefore</w:t>
      </w:r>
      <w:proofErr w:type="gramEnd"/>
      <w:r w:rsidRPr="00164357">
        <w:rPr>
          <w:szCs w:val="24"/>
        </w:rPr>
        <w:t xml:space="preserve"> simulations with increasing single doses are carried out where the start time lies </w:t>
      </w:r>
      <w:proofErr w:type="spellStart"/>
      <w:r w:rsidRPr="00164357">
        <w:rPr>
          <w:szCs w:val="24"/>
        </w:rPr>
        <w:t>tmax</w:t>
      </w:r>
      <w:proofErr w:type="spellEnd"/>
      <w:r w:rsidRPr="00164357">
        <w:rPr>
          <w:szCs w:val="24"/>
        </w:rPr>
        <w:t xml:space="preserve"> hours before the time of blood sampling. Hereby the maximum blood concentration is reached at the time of blood sampling.</w:t>
      </w:r>
    </w:p>
    <w:p w:rsidR="001C2021" w:rsidRPr="00164357" w:rsidRDefault="001C2021" w:rsidP="001C2021">
      <w:pPr>
        <w:rPr>
          <w:szCs w:val="24"/>
        </w:rPr>
      </w:pPr>
      <w:r w:rsidRPr="00164357">
        <w:rPr>
          <w:szCs w:val="24"/>
        </w:rPr>
        <w:t xml:space="preserve"> A complementary approach is to simulate a chronic application with which the measured concentration can be explained. All these results can finally be incorporated into the forensic toxicological expertise. It is of great importance, that during all simulations the toxicologist should be aware of the limitations of the model used. In most cases a fast distribution phase with at least a second distribution compartment is to be expected. </w:t>
      </w:r>
    </w:p>
    <w:p w:rsidR="001C2021" w:rsidRPr="00164357" w:rsidRDefault="001C2021" w:rsidP="001C2021">
      <w:pPr>
        <w:rPr>
          <w:szCs w:val="24"/>
        </w:rPr>
      </w:pPr>
      <w:r w:rsidRPr="00164357">
        <w:rPr>
          <w:szCs w:val="24"/>
        </w:rPr>
        <w:lastRenderedPageBreak/>
        <w:t xml:space="preserve">The differences between 1 compartment model (CM1) and 2 compartment model (CM2) are, that in the CM2 the maximal concentration (C max) is higher than in CM1 and that later concentrations are lower. However, a rough estimation may be possible with the CM1. Though "Auto-Kinetic" provides the possibility to perform simulations with the CM2, the necessary parameters are not always accessible (especially not for older substances). </w:t>
      </w:r>
    </w:p>
    <w:p w:rsidR="001C2021" w:rsidRPr="00164357" w:rsidRDefault="001C2021" w:rsidP="001C2021">
      <w:pPr>
        <w:rPr>
          <w:szCs w:val="24"/>
        </w:rPr>
      </w:pPr>
      <w:r w:rsidRPr="00164357">
        <w:rPr>
          <w:szCs w:val="24"/>
        </w:rPr>
        <w:t>One should also be aware, that the chosen parameters may have a large interindividual variability and other modifying effects like enhanced or decreased metabolism might be of relevance. It should also be mentioned, that in intoxication cases serious deviations can be expected. A forensic toxicological expertise should always be presented with such reservations and caution.</w:t>
      </w:r>
    </w:p>
    <w:p w:rsidR="001C2021" w:rsidRPr="00164357" w:rsidRDefault="001C2021" w:rsidP="001C2021">
      <w:pPr>
        <w:rPr>
          <w:szCs w:val="24"/>
        </w:rPr>
      </w:pPr>
      <w:r w:rsidRPr="00164357">
        <w:rPr>
          <w:szCs w:val="24"/>
        </w:rPr>
        <w:t xml:space="preserve">The simulation model must be comprehensibly explained. The source of data must be given and the biologic variation of each pharmacokinetic parameter must be explained. The basis of the parameter selection should be discussed and it must be demonstrated, that the selected parameters are effective in the simulation of a single and multiple doses of the drug. Also the limitations of the model should be explained. </w:t>
      </w:r>
    </w:p>
    <w:p w:rsidR="001C2021" w:rsidRPr="00164357" w:rsidRDefault="001C2021" w:rsidP="001C2021">
      <w:pPr>
        <w:rPr>
          <w:szCs w:val="24"/>
        </w:rPr>
      </w:pPr>
      <w:r w:rsidRPr="00164357">
        <w:rPr>
          <w:szCs w:val="24"/>
        </w:rPr>
        <w:t xml:space="preserve">The results of the case related simulation must be discussed (e.g. adaptation of parameters, if reasonable) and potential single and multiple doses should be offered, with which the measured concentration can be explained. The most severe limitation of this kind of simulation is, that in an individual case generalized parameters are used which might be invalid under certain circumstances, e.g. comedication with inhibitors of hepatic metabolism or hepatic disorders may prolong the elimination </w:t>
      </w:r>
      <w:r w:rsidR="00164357" w:rsidRPr="00164357">
        <w:rPr>
          <w:szCs w:val="24"/>
        </w:rPr>
        <w:t>half</w:t>
      </w:r>
      <w:r w:rsidR="00164357">
        <w:rPr>
          <w:szCs w:val="24"/>
        </w:rPr>
        <w:t>-</w:t>
      </w:r>
      <w:r w:rsidR="00164357" w:rsidRPr="00164357">
        <w:rPr>
          <w:szCs w:val="24"/>
        </w:rPr>
        <w:t>life</w:t>
      </w:r>
      <w:r w:rsidRPr="00164357">
        <w:rPr>
          <w:szCs w:val="24"/>
        </w:rPr>
        <w:t xml:space="preserve"> and lead to wrong simulation results. </w:t>
      </w:r>
      <w:r w:rsidR="005D0801" w:rsidRPr="00164357">
        <w:rPr>
          <w:szCs w:val="24"/>
        </w:rPr>
        <w:t>Therefore,</w:t>
      </w:r>
      <w:r w:rsidRPr="00164357">
        <w:rPr>
          <w:szCs w:val="24"/>
        </w:rPr>
        <w:t xml:space="preserve"> it is important to present all evaluation results.</w:t>
      </w:r>
    </w:p>
    <w:sectPr w:rsidR="001C2021" w:rsidRPr="001643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021"/>
    <w:rsid w:val="00164357"/>
    <w:rsid w:val="001C2021"/>
    <w:rsid w:val="002212CF"/>
    <w:rsid w:val="005D0801"/>
    <w:rsid w:val="006538FC"/>
    <w:rsid w:val="00910DE4"/>
    <w:rsid w:val="00AA123A"/>
    <w:rsid w:val="00AC63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58333"/>
  <w15:chartTrackingRefBased/>
  <w15:docId w15:val="{C183CA99-751C-4675-B946-5DCCD968D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2CF"/>
    <w:pPr>
      <w:spacing w:after="200" w:line="276" w:lineRule="auto"/>
      <w:ind w:firstLine="284"/>
      <w:jc w:val="both"/>
    </w:pPr>
    <w:rPr>
      <w:rFonts w:ascii="Times New Roman" w:hAnsi="Times New Roman"/>
      <w:sz w:val="24"/>
      <w:lang w:val="en-US"/>
    </w:rPr>
  </w:style>
  <w:style w:type="paragraph" w:styleId="Heading1">
    <w:name w:val="heading 1"/>
    <w:basedOn w:val="Normal"/>
    <w:next w:val="Normal"/>
    <w:link w:val="Heading1Char"/>
    <w:uiPriority w:val="9"/>
    <w:qFormat/>
    <w:rsid w:val="002212CF"/>
    <w:pPr>
      <w:keepNext/>
      <w:keepLines/>
      <w:spacing w:after="0" w:line="360" w:lineRule="auto"/>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2212CF"/>
    <w:pPr>
      <w:keepNext/>
      <w:keepLines/>
      <w:spacing w:after="0"/>
      <w:ind w:firstLine="0"/>
      <w:outlineLvl w:val="1"/>
    </w:pPr>
    <w:rPr>
      <w:rFonts w:eastAsiaTheme="majorEastAsia" w:cstheme="majorBidi"/>
      <w:b/>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2CF"/>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2212CF"/>
    <w:rPr>
      <w:rFonts w:ascii="Times New Roman" w:eastAsiaTheme="majorEastAsia" w:hAnsi="Times New Roman" w:cstheme="majorBidi"/>
      <w:b/>
      <w:sz w:val="24"/>
      <w:szCs w:val="26"/>
    </w:rPr>
  </w:style>
  <w:style w:type="character" w:styleId="Hyperlink">
    <w:name w:val="Hyperlink"/>
    <w:basedOn w:val="DefaultParagraphFont"/>
    <w:uiPriority w:val="99"/>
    <w:semiHidden/>
    <w:unhideWhenUsed/>
    <w:rsid w:val="001643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14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rimranmasood@iub.edu.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Waqar Akram</dc:creator>
  <cp:keywords/>
  <dc:description/>
  <cp:lastModifiedBy>Grace</cp:lastModifiedBy>
  <cp:revision>5</cp:revision>
  <dcterms:created xsi:type="dcterms:W3CDTF">2019-04-02T17:17:00Z</dcterms:created>
  <dcterms:modified xsi:type="dcterms:W3CDTF">2020-03-31T12:46:00Z</dcterms:modified>
</cp:coreProperties>
</file>